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2025-11-20</w:t>
      </w:r>
    </w:p>
    <w:bookmarkStart w:id="24" w:name="dictionary-solutions"/>
    <w:p>
      <w:pPr>
        <w:pStyle w:val="Heading1"/>
      </w:pPr>
      <w:r>
        <w:t xml:space="preserve">Dictionary (Solutions)</w:t>
      </w:r>
    </w:p>
    <w:bookmarkStart w:id="20" w:name="multiple-choices"/>
    <w:p>
      <w:pPr>
        <w:pStyle w:val="Heading2"/>
      </w:pPr>
      <w:r>
        <w:t xml:space="preserve">Multiple Choices</w:t>
      </w:r>
    </w:p>
    <w:p>
      <w:pPr>
        <w:numPr>
          <w:ilvl w:val="0"/>
          <w:numId w:val="1001"/>
        </w:numPr>
      </w:pPr>
      <w:r>
        <w:t xml:space="preserve">Put a checkmark in the box corresponding to true statements.</w:t>
      </w:r>
    </w:p>
    <w:p>
      <w:pPr>
        <w:pStyle w:val="Compact"/>
        <w:numPr>
          <w:ilvl w:val="1"/>
          <w:numId w:val="1002"/>
        </w:numPr>
      </w:pPr>
      <w:r>
        <w:t xml:space="preserve">Any datatype can be used for keys, but they tend to be</w:t>
      </w:r>
      <w:r>
        <w:t xml:space="preserve"> </w:t>
      </w:r>
      <w:r>
        <w:t xml:space="preserve">“simpler”</w:t>
      </w:r>
      <w:r>
        <w:t xml:space="preserve"> </w:t>
      </w:r>
      <w:r>
        <w:t xml:space="preserve">than the datatype used for values.</w:t>
      </w:r>
    </w:p>
    <w:p>
      <w:pPr>
        <w:pStyle w:val="Compact"/>
        <w:numPr>
          <w:ilvl w:val="1"/>
          <w:numId w:val="1003"/>
        </w:numPr>
      </w:pPr>
      <w:r>
        <w:t xml:space="preserve">Two pairs (or</w:t>
      </w:r>
      <w:r>
        <w:t xml:space="preserve"> </w:t>
      </w:r>
      <w:r>
        <w:rPr>
          <w:rStyle w:val="NormalTok"/>
        </w:rPr>
        <w:t xml:space="preserve">Cell</w:t>
      </w:r>
      <w:r>
        <w:t xml:space="preserve">s) with the same key can be stored in a dictionary, provided they have different values.</w:t>
      </w:r>
    </w:p>
    <w:p>
      <w:pPr>
        <w:pStyle w:val="Compact"/>
        <w:numPr>
          <w:ilvl w:val="1"/>
          <w:numId w:val="1004"/>
        </w:numPr>
      </w:pPr>
      <w:r>
        <w:t xml:space="preserve">A collision occurs when two keys (or, in general, two pieces of data) have the same hash.</w:t>
      </w:r>
    </w:p>
    <w:p>
      <w:pPr>
        <w:pStyle w:val="Compact"/>
        <w:numPr>
          <w:ilvl w:val="1"/>
          <w:numId w:val="1005"/>
        </w:numPr>
      </w:pPr>
      <w:r>
        <w:t xml:space="preserve">Open addressing and (separate) chaining are two methods to resolve collisions.</w:t>
      </w:r>
    </w:p>
    <w:p>
      <w:pPr>
        <w:pStyle w:val="Compact"/>
        <w:numPr>
          <w:ilvl w:val="1"/>
          <w:numId w:val="1006"/>
        </w:numPr>
      </w:pPr>
      <w:r>
        <w:t xml:space="preserve">Clustering is what makes dictionaries process data faster.</w:t>
      </w:r>
    </w:p>
    <w:p>
      <w:pPr>
        <w:numPr>
          <w:ilvl w:val="0"/>
          <w:numId w:val="1000"/>
        </w:numPr>
      </w:pPr>
      <w:r>
        <w:t xml:space="preserve">Comments on the solution</w:t>
      </w:r>
    </w:p>
    <w:p>
      <w:pPr>
        <w:pStyle w:val="Compact"/>
        <w:numPr>
          <w:ilvl w:val="1"/>
          <w:numId w:val="1007"/>
        </w:numPr>
      </w:pPr>
      <w:r>
        <w:t xml:space="preserve">Note that a collision actually occurs when the keys have the same hash</w:t>
      </w:r>
      <w:r>
        <w:t xml:space="preserve"> </w:t>
      </w:r>
      <w:r>
        <w:rPr>
          <w:i/>
          <w:iCs/>
        </w:rPr>
        <w:t xml:space="preserve">modulo the array size</w:t>
      </w:r>
      <w:r>
        <w:t xml:space="preserve"> </w:t>
      </w:r>
      <w:r>
        <w:t xml:space="preserve">in our case.</w:t>
      </w:r>
    </w:p>
    <w:p>
      <w:pPr>
        <w:pStyle w:val="Compact"/>
        <w:numPr>
          <w:ilvl w:val="1"/>
          <w:numId w:val="1007"/>
        </w:numPr>
      </w:pPr>
      <w:r>
        <w:t xml:space="preserve">Clustering is actually negative: it means that data is often stored in the same place in the dictionary, making it more computationally costly to find the data.</w:t>
      </w:r>
    </w:p>
    <w:bookmarkEnd w:id="20"/>
    <w:bookmarkStart w:id="23" w:name="problem"/>
    <w:p>
      <w:pPr>
        <w:pStyle w:val="Heading2"/>
      </w:pPr>
      <w:r>
        <w:t xml:space="preserve">Problem</w:t>
      </w:r>
    </w:p>
    <w:p>
      <w:pPr>
        <w:numPr>
          <w:ilvl w:val="0"/>
          <w:numId w:val="1008"/>
        </w:numPr>
      </w:pPr>
      <w:r>
        <w:t xml:space="preserve">Consider the implementation of</w:t>
      </w:r>
      <w:r>
        <w:t xml:space="preserve"> </w:t>
      </w:r>
      <w:r>
        <w:t xml:space="preserve">“simple”</w:t>
      </w:r>
      <w:r>
        <w:t xml:space="preserve"> </w:t>
      </w:r>
      <w:r>
        <w:t xml:space="preserve">dictionary</w:t>
      </w:r>
      <w:r>
        <w:t xml:space="preserve"> </w:t>
      </w:r>
      <w:r>
        <w:rPr>
          <w:rStyle w:val="NormalTok"/>
        </w:rPr>
        <w:t xml:space="preserve">SDictionary</w:t>
      </w:r>
      <w:r>
        <w:t xml:space="preserve"> </w:t>
      </w:r>
      <w:r>
        <w:t xml:space="preserve">below:</w:t>
      </w:r>
    </w:p>
    <w:p>
      <w:pPr>
        <w:pStyle w:val="SourceCode"/>
        <w:numPr>
          <w:ilvl w:val="0"/>
          <w:numId w:val="1000"/>
        </w:numPr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SDictionary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Cell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Value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valueP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Key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31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size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countP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keyP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valueP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00"/>
        </w:numPr>
      </w:pPr>
      <w:hyperlink r:id="rId21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numPr>
          <w:ilvl w:val="0"/>
          <w:numId w:val="1000"/>
        </w:numPr>
      </w:pPr>
      <w:r>
        <w:t xml:space="preserve">Remember that, for example,</w:t>
      </w:r>
      <w:r>
        <w:t xml:space="preserve"> 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t xml:space="preserve"> </w:t>
      </w:r>
      <w:r>
        <w:t xml:space="preserve">is</w:t>
      </w:r>
      <w:r>
        <w:t xml:space="preserve"> </w:t>
      </w:r>
      <w:r>
        <w:rPr>
          <w:rStyle w:val="CharTok"/>
        </w:rPr>
        <w:t xml:space="preserve">'B'</w:t>
      </w:r>
      <w:r>
        <w:t xml:space="preserve"> </w:t>
      </w:r>
      <w:r>
        <w:t xml:space="preserve">and use the correspondence below between characters and their integer representation to help you (i.e.,</w:t>
      </w:r>
      <w: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'B'</w:t>
      </w:r>
      <w:r>
        <w:t xml:space="preserve"> </w:t>
      </w:r>
      <w:r>
        <w:t xml:space="preserve">is 66):</w:t>
      </w:r>
    </w:p>
    <w:tbl>
      <w:tblPr>
        <w:tblStyle w:val="Table"/>
        <w:tblW w:type="pct" w:w="5000"/>
        <w:jc w:val="left"/>
        <w:tblInd w:w="720" w:type="dxa"/>
        <w:tblLayout w:type="fixed"/>
        <w:tblLook w:firstRow="1" w:lastRow="0" w:firstColumn="0" w:lastColumn="0" w:noHBand="0" w:noVBand="0" w:val="0020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  <w: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J</w:t>
            </w:r>
          </w:p>
        </w:tc>
        <w:tc>
          <w:tcPr/>
          <w:p>
            <w:pPr>
              <w:pStyle w:val="Compact"/>
            </w:pPr>
            <w:r>
              <w:t xml:space="preserve">K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Q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T</w:t>
            </w:r>
          </w:p>
        </w:tc>
        <w:tc>
          <w:tcPr/>
          <w:p>
            <w:pPr>
              <w:pStyle w:val="Compact"/>
            </w:pPr>
            <w:r>
              <w:t xml:space="preserve">U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  <w:r>
              <w:t xml:space="preserve">Z</w:t>
            </w:r>
          </w:p>
        </w:tc>
      </w:tr>
      <w:tr>
        <w:tc>
          <w:tcPr/>
          <w:p>
            <w:pPr>
              <w:pStyle w:val="Compac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  <w:r>
              <w:t xml:space="preserve">66</w:t>
            </w:r>
          </w:p>
        </w:tc>
        <w:tc>
          <w:tcPr/>
          <w:p>
            <w:pPr>
              <w:pStyle w:val="Compact"/>
            </w:pPr>
            <w:r>
              <w:t xml:space="preserve">67</w:t>
            </w:r>
          </w:p>
        </w:tc>
        <w:tc>
          <w:tcPr/>
          <w:p>
            <w:pPr>
              <w:pStyle w:val="Compact"/>
            </w:pPr>
            <w:r>
              <w:t xml:space="preserve">68</w:t>
            </w:r>
          </w:p>
        </w:tc>
        <w:tc>
          <w:tcPr/>
          <w:p>
            <w:pPr>
              <w:pStyle w:val="Compact"/>
            </w:pPr>
            <w:r>
              <w:t xml:space="preserve">69</w:t>
            </w:r>
          </w:p>
        </w:tc>
        <w:tc>
          <w:tcPr/>
          <w:p>
            <w:pPr>
              <w:pStyle w:val="Compac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  <w:r>
              <w:t xml:space="preserve">71</w:t>
            </w:r>
          </w:p>
        </w:tc>
        <w:tc>
          <w:tcPr/>
          <w:p>
            <w:pPr>
              <w:pStyle w:val="Compact"/>
            </w:pPr>
            <w:r>
              <w:t xml:space="preserve">72</w:t>
            </w:r>
          </w:p>
        </w:tc>
        <w:tc>
          <w:tcPr/>
          <w:p>
            <w:pPr>
              <w:pStyle w:val="Compac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  <w:r>
              <w:t xml:space="preserve">76</w:t>
            </w:r>
          </w:p>
        </w:tc>
        <w:tc>
          <w:tcPr/>
          <w:p>
            <w:pPr>
              <w:pStyle w:val="Compact"/>
            </w:pPr>
            <w:r>
              <w:t xml:space="preserve">77</w:t>
            </w:r>
          </w:p>
        </w:tc>
        <w:tc>
          <w:tcPr/>
          <w:p>
            <w:pPr>
              <w:pStyle w:val="Compact"/>
            </w:pPr>
            <w:r>
              <w:t xml:space="preserve">78</w:t>
            </w:r>
          </w:p>
        </w:tc>
        <w:tc>
          <w:tcPr/>
          <w:p>
            <w:pPr>
              <w:pStyle w:val="Compact"/>
            </w:pPr>
            <w:r>
              <w:t xml:space="preserve">79</w:t>
            </w:r>
          </w:p>
        </w:tc>
        <w:tc>
          <w:tcPr/>
          <w:p>
            <w:pPr>
              <w:pStyle w:val="Compac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t xml:space="preserve">82</w:t>
            </w:r>
          </w:p>
        </w:tc>
        <w:tc>
          <w:tcPr/>
          <w:p>
            <w:pPr>
              <w:pStyle w:val="Compact"/>
            </w:pPr>
            <w:r>
              <w:t xml:space="preserve">83</w:t>
            </w:r>
          </w:p>
        </w:tc>
        <w:tc>
          <w:tcPr/>
          <w:p>
            <w:pPr>
              <w:pStyle w:val="Compact"/>
            </w:pPr>
            <w:r>
              <w:t xml:space="preserve">84</w:t>
            </w:r>
          </w:p>
        </w:tc>
        <w:tc>
          <w:tcPr/>
          <w:p>
            <w:pPr>
              <w:pStyle w:val="Compact"/>
            </w:pPr>
            <w:r>
              <w:t xml:space="preserve">85</w:t>
            </w:r>
          </w:p>
        </w:tc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t xml:space="preserve">88</w:t>
            </w:r>
          </w:p>
        </w:tc>
        <w:tc>
          <w:tcPr/>
          <w:p>
            <w:pPr>
              <w:pStyle w:val="Compac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  <w:r>
              <w:t xml:space="preserve">90</w:t>
            </w:r>
          </w:p>
        </w:tc>
      </w:tr>
    </w:tbl>
    <w:p>
      <w:pPr>
        <w:numPr>
          <w:ilvl w:val="1"/>
          <w:numId w:val="1009"/>
        </w:numPr>
      </w:pPr>
      <w:r>
        <w:t xml:space="preserve">Fill the</w:t>
      </w:r>
      <w:r>
        <w:t xml:space="preserve"> </w:t>
      </w:r>
      <w:r>
        <w:rPr>
          <w:rStyle w:val="NormalTok"/>
        </w:rPr>
        <w:t xml:space="preserve">table</w:t>
      </w:r>
      <w:r>
        <w:t xml:space="preserve"> </w:t>
      </w:r>
      <w:r>
        <w:t xml:space="preserve">array below after the following have been performed: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SDictionary friends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"Pete"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"Mary"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"Lora"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</w:p>
    <w:tbl>
      <w:tblPr>
        <w:tblStyle w:val="Table"/>
        <w:tblW w:type="auto" w:w="0"/>
        <w:jc w:val="left"/>
        <w:tblInd w:w="1440" w:type="dxa"/>
        <w:tblLook w:firstRow="1" w:lastRow="0" w:firstColumn="0" w:lastColumn="0" w:noHBand="0" w:noVBand="0" w:val="002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0"/>
        </w:numPr>
      </w:pPr>
      <w:r>
        <w:t xml:space="preserve">Solution</w:t>
      </w:r>
    </w:p>
    <w:tbl>
      <w:tblPr>
        <w:tblStyle w:val="Table"/>
        <w:tblW w:type="pct" w:w="5000"/>
        <w:jc w:val="left"/>
        <w:tblInd w:w="1440" w:type="dxa"/>
        <w:tblLayout w:type="fixed"/>
        <w:tblLook w:firstRow="1" w:lastRow="0" w:firstColumn="0" w:lastColumn="0" w:noHBand="0" w:noVBand="0" w:val="0020"/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“Bob”</w:t>
            </w:r>
          </w:p>
        </w:tc>
        <w:tc>
          <w:tcPr/>
          <w:p>
            <w:pPr>
              <w:pStyle w:val="Compact"/>
            </w:pPr>
            <w:r>
              <w:t xml:space="preserve">“Mary”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t xml:space="preserve">“Pete”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rPr>
                <w:rStyle w:val="KeywordTok"/>
              </w:rPr>
              <w:t xml:space="preserve">null</w:t>
            </w:r>
          </w:p>
        </w:tc>
        <w:tc>
          <w:tcPr/>
          <w:p>
            <w:pPr>
              <w:pStyle w:val="Compact"/>
            </w:pPr>
            <w:r>
              <w:t xml:space="preserve">“Lora”</w:t>
            </w:r>
          </w:p>
        </w:tc>
      </w:tr>
    </w:tbl>
    <w:p>
      <w:pPr>
        <w:numPr>
          <w:ilvl w:val="1"/>
          <w:numId w:val="1000"/>
        </w:numPr>
      </w:pPr>
      <w:r>
        <w:t xml:space="preserve">The important point is to realize that</w:t>
      </w:r>
    </w:p>
    <w:tbl>
      <w:tblPr>
        <w:tblStyle w:val="Table"/>
        <w:tblW w:type="auto" w:w="0"/>
        <w:jc w:val="left"/>
        <w:tblInd w:w="1440" w:type="dxa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Expression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StringTok"/>
              </w:rPr>
              <w:t xml:space="preserve">"Bob"</w:t>
            </w:r>
            <w:r>
              <w:rPr>
                <w:rStyle w:val="OperatorTok"/>
              </w:rPr>
              <w:t xml:space="preserve">[</w:t>
            </w:r>
            <w:r>
              <w:rPr>
                <w:rStyle w:val="DecValTok"/>
              </w:rPr>
              <w:t xml:space="preserve">0</w:t>
            </w:r>
            <w:r>
              <w:rPr>
                <w:rStyle w:val="OperatorTok"/>
              </w:rPr>
              <w:t xml:space="preserve">]</w:t>
            </w:r>
          </w:p>
        </w:tc>
        <w:tc>
          <w:tcPr/>
          <w:p>
            <w:pPr>
              <w:pStyle w:val="Compact"/>
            </w:pPr>
            <w:r>
              <w:rPr>
                <w:rStyle w:val="CharTok"/>
              </w:rPr>
              <w:t xml:space="preserve">'B'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OperatorTok"/>
              </w:rPr>
              <w:t xml:space="preserve">(</w:t>
            </w:r>
            <w:r>
              <w:rPr>
                <w:rStyle w:val="DataTypeTok"/>
              </w:rPr>
              <w:t xml:space="preserve">int</w:t>
            </w:r>
            <w:r>
              <w:rPr>
                <w:rStyle w:val="OperatorTok"/>
              </w:rPr>
              <w:t xml:space="preserve">)</w:t>
            </w:r>
            <w:r>
              <w:rPr>
                <w:rStyle w:val="CharTok"/>
              </w:rPr>
              <w:t xml:space="preserve">'B'</w:t>
            </w:r>
          </w:p>
        </w:tc>
        <w:tc>
          <w:tcPr/>
          <w:p>
            <w:pPr>
              <w:pStyle w:val="Compact"/>
            </w:pPr>
            <w:r>
              <w:rPr>
                <w:rStyle w:val="DecValTok"/>
              </w:rPr>
              <w:t xml:space="preserve">66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DecValTok"/>
              </w:rPr>
              <w:t xml:space="preserve">66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%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Style w:val="DecValTok"/>
              </w:rP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StringTok"/>
              </w:rPr>
              <w:t xml:space="preserve">"Mary"</w:t>
            </w:r>
            <w:r>
              <w:rPr>
                <w:rStyle w:val="OperatorTok"/>
              </w:rPr>
              <w:t xml:space="preserve">[</w:t>
            </w:r>
            <w:r>
              <w:rPr>
                <w:rStyle w:val="DecValTok"/>
              </w:rPr>
              <w:t xml:space="preserve">0</w:t>
            </w:r>
            <w:r>
              <w:rPr>
                <w:rStyle w:val="OperatorTok"/>
              </w:rPr>
              <w:t xml:space="preserve">]</w:t>
            </w:r>
          </w:p>
        </w:tc>
        <w:tc>
          <w:tcPr/>
          <w:p>
            <w:pPr>
              <w:pStyle w:val="Compact"/>
            </w:pPr>
            <w:r>
              <w:rPr>
                <w:rStyle w:val="CharTok"/>
              </w:rPr>
              <w:t xml:space="preserve">'M'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OperatorTok"/>
              </w:rPr>
              <w:t xml:space="preserve">(</w:t>
            </w:r>
            <w:r>
              <w:rPr>
                <w:rStyle w:val="DataTypeTok"/>
              </w:rPr>
              <w:t xml:space="preserve">int</w:t>
            </w:r>
            <w:r>
              <w:rPr>
                <w:rStyle w:val="OperatorTok"/>
              </w:rPr>
              <w:t xml:space="preserve">)</w:t>
            </w:r>
            <w:r>
              <w:rPr>
                <w:rStyle w:val="CharTok"/>
              </w:rPr>
              <w:t xml:space="preserve">'M'</w:t>
            </w:r>
          </w:p>
        </w:tc>
        <w:tc>
          <w:tcPr/>
          <w:p>
            <w:pPr>
              <w:pStyle w:val="Compact"/>
            </w:pPr>
            <w:r>
              <w:rPr>
                <w:rStyle w:val="DecValTok"/>
              </w:rPr>
              <w:t xml:space="preserve">77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DecValTok"/>
              </w:rPr>
              <w:t xml:space="preserve">77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%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Style w:val="DecValTok"/>
              </w:rPr>
              <w:t xml:space="preserve">0</w:t>
            </w:r>
          </w:p>
        </w:tc>
      </w:tr>
    </w:tbl>
    <w:p>
      <w:pPr>
        <w:numPr>
          <w:ilvl w:val="1"/>
          <w:numId w:val="1000"/>
        </w:numPr>
      </w:pPr>
      <w:r>
        <w:t xml:space="preserve">So</w:t>
      </w:r>
      <w:r>
        <w:t xml:space="preserve"> </w:t>
      </w:r>
      <w:r>
        <w:t xml:space="preserve">“Bob”</w:t>
      </w:r>
      <w:r>
        <w:t xml:space="preserve"> </w:t>
      </w:r>
      <w:r>
        <w:t xml:space="preserve">and</w:t>
      </w:r>
      <w:r>
        <w:t xml:space="preserve"> </w:t>
      </w:r>
      <w:r>
        <w:t xml:space="preserve">“Mary”</w:t>
      </w:r>
      <w:r>
        <w:t xml:space="preserve"> </w:t>
      </w:r>
      <w:r>
        <w:t xml:space="preserve">are both stored at index 0.</w:t>
      </w:r>
      <w:r>
        <w:t xml:space="preserve"> </w:t>
      </w:r>
      <w:r>
        <w:t xml:space="preserve">“Bob”</w:t>
      </w:r>
      <w:r>
        <w:t xml:space="preserve"> </w:t>
      </w:r>
      <w:r>
        <w:t xml:space="preserve">is inserted first at index</w:t>
      </w:r>
      <w:r>
        <w:t xml:space="preserve"> </w:t>
      </w:r>
      <w:r>
        <w:rPr>
          <w:rStyle w:val="DecValTok"/>
        </w:rPr>
        <w:t xml:space="preserve">0</w:t>
      </w:r>
      <w:r>
        <w:t xml:space="preserve">, and since the</w:t>
      </w:r>
      <w:r>
        <w:t xml:space="preserve"> </w:t>
      </w:r>
      <w:r>
        <w:rPr>
          <w:rStyle w:val="NormalTok"/>
        </w:rPr>
        <w:t xml:space="preserve">Add</w:t>
      </w:r>
      <w:r>
        <w:t xml:space="preserve"> </w:t>
      </w:r>
      <w:r>
        <w:t xml:space="preserve">method use linear open addressing,</w:t>
      </w:r>
      <w:r>
        <w:t xml:space="preserve"> </w:t>
      </w:r>
      <w:r>
        <w:t xml:space="preserve">“Mary”</w:t>
      </w:r>
      <w:r>
        <w:t xml:space="preserve"> </w:t>
      </w:r>
      <w:r>
        <w:t xml:space="preserve">is stored at the next available index,</w:t>
      </w:r>
      <w:r>
        <w:t xml:space="preserve"> </w:t>
      </w:r>
      <w:r>
        <w:rPr>
          <w:rStyle w:val="DecValTok"/>
        </w:rPr>
        <w:t xml:space="preserve">1</w:t>
      </w:r>
      <w:r>
        <w:t xml:space="preserve"> </w:t>
      </w:r>
      <w:r>
        <w:t xml:space="preserve">in this case.</w:t>
      </w:r>
    </w:p>
    <w:p>
      <w:pPr>
        <w:numPr>
          <w:ilvl w:val="1"/>
          <w:numId w:val="1009"/>
        </w:numPr>
      </w:pPr>
      <w:r>
        <w:t xml:space="preserve">What would happen if</w:t>
      </w:r>
      <w:r>
        <w:t xml:space="preserve"> </w:t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"Lora"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t xml:space="preserve"> </w:t>
      </w:r>
      <w:r>
        <w:t xml:space="preserve">was executed again? Is it what is expected from a dictionary?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numPr>
          <w:ilvl w:val="1"/>
          <w:numId w:val="1000"/>
        </w:numPr>
      </w:pPr>
      <w:r>
        <w:t xml:space="preserve">“Lora”</w:t>
      </w:r>
      <w:r>
        <w:t xml:space="preserve"> </w:t>
      </w:r>
      <w:r>
        <w:t xml:space="preserve">would be inserted at index</w:t>
      </w:r>
      <w:r>
        <w:t xml:space="preserve"> </w:t>
      </w:r>
      <w:r>
        <w:rPr>
          <w:rStyle w:val="DecValTok"/>
        </w:rPr>
        <w:t xml:space="preserve">2</w:t>
      </w:r>
      <w:r>
        <w:t xml:space="preserve">:</w:t>
      </w:r>
      <w:r>
        <w:t xml:space="preserve"> </w:t>
      </w:r>
      <w:r>
        <w:rPr>
          <w:rStyle w:val="DecValTok"/>
        </w:rPr>
        <w:t xml:space="preserve">10</w:t>
      </w:r>
      <w:r>
        <w:t xml:space="preserve">,</w:t>
      </w:r>
      <w:r>
        <w:t xml:space="preserve"> </w:t>
      </w:r>
      <w:r>
        <w:rPr>
          <w:rStyle w:val="DecValTok"/>
        </w:rPr>
        <w:t xml:space="preserve">0</w:t>
      </w:r>
      <w:r>
        <w:t xml:space="preserve"> </w:t>
      </w:r>
      <w:r>
        <w:t xml:space="preserve">and</w:t>
      </w:r>
      <w:r>
        <w:t xml:space="preserve"> </w:t>
      </w:r>
      <w:r>
        <w:rPr>
          <w:rStyle w:val="DecValTok"/>
        </w:rPr>
        <w:t xml:space="preserve">1</w:t>
      </w:r>
      <w:r>
        <w:t xml:space="preserve"> </w:t>
      </w:r>
      <w:r>
        <w:t xml:space="preserve">being taken,</w:t>
      </w:r>
      <w:r>
        <w:t xml:space="preserve"> </w:t>
      </w:r>
      <w:r>
        <w:rPr>
          <w:rStyle w:val="NormalTok"/>
        </w:rPr>
        <w:t xml:space="preserve">Add</w:t>
      </w:r>
      <w:r>
        <w:t xml:space="preserve"> </w:t>
      </w:r>
      <w:r>
        <w:t xml:space="preserve">goes to the next available index,</w:t>
      </w:r>
      <w:r>
        <w:t xml:space="preserve"> </w:t>
      </w:r>
      <w:r>
        <w:rPr>
          <w:rStyle w:val="DecValTok"/>
        </w:rPr>
        <w:t xml:space="preserve">2</w:t>
      </w:r>
      <w:r>
        <w:t xml:space="preserve">. This is not expected, since a dictionary should reject entering</w:t>
      </w:r>
      <w:r>
        <w:t xml:space="preserve"> </w:t>
      </w:r>
      <w:r>
        <w:rPr>
          <w:i/>
          <w:iCs/>
        </w:rPr>
        <w:t xml:space="preserve">two</w:t>
      </w:r>
      <w:r>
        <w:t xml:space="preserve"> </w:t>
      </w:r>
      <w:r>
        <w:t xml:space="preserve">values with the same key.</w:t>
      </w:r>
    </w:p>
    <w:p>
      <w:pPr>
        <w:numPr>
          <w:ilvl w:val="1"/>
          <w:numId w:val="1009"/>
        </w:numPr>
      </w:pPr>
      <w:r>
        <w:t xml:space="preserve">Write a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 for the</w:t>
      </w:r>
      <w:r>
        <w:t xml:space="preserve"> </w:t>
      </w:r>
      <w:r>
        <w:rPr>
          <w:rStyle w:val="NormalTok"/>
        </w:rPr>
        <w:t xml:space="preserve">SDictionary</w:t>
      </w:r>
      <w:r>
        <w:t xml:space="preserve"> </w:t>
      </w:r>
      <w:r>
        <w:t xml:space="preserve">class, that returns a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containing all the keys and values stored in the dictionary.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returned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Index {0, -2} |"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Format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 xml:space="preserve">" {0, -10}| {1, -10} |"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returned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</w:p>
    <w:p>
      <w:pPr>
        <w:pStyle w:val="Compact"/>
        <w:numPr>
          <w:ilvl w:val="1"/>
          <w:numId w:val="1000"/>
        </w:numPr>
      </w:pPr>
      <w:hyperlink r:id="rId22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numPr>
          <w:ilvl w:val="1"/>
          <w:numId w:val="1009"/>
        </w:numPr>
      </w:pPr>
      <w:r>
        <w:t xml:space="preserve">What would happen if we were to try to insert 12 elements in our</w:t>
      </w:r>
      <w:r>
        <w:t xml:space="preserve"> </w:t>
      </w:r>
      <w:r>
        <w:rPr>
          <w:rStyle w:val="NormalTok"/>
        </w:rPr>
        <w:t xml:space="preserve">friends</w:t>
      </w:r>
      <w:r>
        <w:t xml:space="preserve"> </w:t>
      </w:r>
      <w:r>
        <w:t xml:space="preserve">object?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numPr>
          <w:ilvl w:val="1"/>
          <w:numId w:val="1000"/>
        </w:numPr>
      </w:pPr>
      <w:r>
        <w:t xml:space="preserve">When trying to insert the 12th element in the array of size 11,</w:t>
      </w:r>
      <w:r>
        <w:t xml:space="preserve"> </w:t>
      </w:r>
      <w:r>
        <w:rPr>
          <w:rStyle w:val="NormalTok"/>
        </w:rPr>
        <w:t xml:space="preserve">Add</w:t>
      </w:r>
      <w:r>
        <w:t xml:space="preserve"> </w:t>
      </w:r>
      <w:r>
        <w:t xml:space="preserve">would loop forever, always circling through the array, looking for a cell containing</w:t>
      </w:r>
      <w:r>
        <w:t xml:space="preserve"> </w:t>
      </w:r>
      <w:r>
        <w:rPr>
          <w:rStyle w:val="KeywordTok"/>
        </w:rPr>
        <w:t xml:space="preserve">null</w:t>
      </w:r>
      <w:r>
        <w:t xml:space="preserve">, while none are left.</w:t>
      </w:r>
    </w:p>
    <w:p>
      <w:pPr>
        <w:numPr>
          <w:ilvl w:val="1"/>
          <w:numId w:val="1009"/>
        </w:numPr>
      </w:pPr>
      <w:r>
        <w:t xml:space="preserve">Consider the following</w:t>
      </w:r>
      <w:r>
        <w:t xml:space="preserve"> </w:t>
      </w:r>
      <w:r>
        <w:rPr>
          <w:rStyle w:val="NormalTok"/>
        </w:rPr>
        <w:t xml:space="preserve">Delete</w:t>
      </w:r>
      <w:r>
        <w:t xml:space="preserve"> </w:t>
      </w:r>
      <w:r>
        <w:t xml:space="preserve">method: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found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</w:p>
    <w:p>
      <w:pPr>
        <w:pStyle w:val="Compact"/>
        <w:numPr>
          <w:ilvl w:val="1"/>
          <w:numId w:val="1000"/>
        </w:numPr>
      </w:pPr>
      <w:hyperlink r:id="rId22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numPr>
          <w:ilvl w:val="1"/>
          <w:numId w:val="1000"/>
        </w:numPr>
      </w:pPr>
      <w:r>
        <w:t xml:space="preserve">Complete the series of instructions below such that</w:t>
      </w:r>
      <w:r>
        <w:t xml:space="preserve"> </w:t>
      </w:r>
      <w:r>
        <w:rPr>
          <w:rStyle w:val="NormalTok"/>
        </w:rPr>
        <w:t xml:space="preserve">demo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error</w:t>
      </w:r>
      <w:r>
        <w:rPr>
          <w:rStyle w:val="OperatorTok"/>
        </w:rPr>
        <w:t xml:space="preserve">)</w:t>
      </w:r>
      <w:r>
        <w:t xml:space="preserve"> </w:t>
      </w:r>
      <w:r>
        <w:t xml:space="preserve">would return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even though the string</w:t>
      </w:r>
      <w:r>
        <w:t xml:space="preserve"> </w:t>
      </w:r>
      <w:r>
        <w:rPr>
          <w:rStyle w:val="NormalTok"/>
        </w:rPr>
        <w:t xml:space="preserve">error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the key of a value present in the</w:t>
      </w:r>
      <w:r>
        <w:t xml:space="preserve"> </w:t>
      </w:r>
      <w:r>
        <w:rPr>
          <w:rStyle w:val="NormalTok"/>
        </w:rPr>
        <w:t xml:space="preserve">demo</w:t>
      </w:r>
      <w:r>
        <w:t xml:space="preserve"> </w:t>
      </w:r>
      <w:r>
        <w:t xml:space="preserve">dictionary object.</w:t>
      </w:r>
    </w:p>
    <w:p>
      <w:pPr>
        <w:pStyle w:val="SourceCode"/>
        <w:numPr>
          <w:ilvl w:val="1"/>
          <w:numId w:val="1000"/>
        </w:numPr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Program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(){</w:t>
      </w:r>
      <w:r>
        <w:br/>
      </w:r>
      <w:r>
        <w:rPr>
          <w:rStyle w:val="NormalTok"/>
        </w:rPr>
        <w:t xml:space="preserve">    SDictionary demo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Complete it.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                           </w:t>
      </w:r>
      <w:r>
        <w:rPr>
          <w:rStyle w:val="CommentTok"/>
        </w:rPr>
        <w:t xml:space="preserve">// Fill me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To be completed.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"{error} was in demo: {demo.Delete(error)}."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numPr>
          <w:ilvl w:val="1"/>
          <w:numId w:val="1000"/>
        </w:numPr>
      </w:pPr>
      <w:r>
        <w:t xml:space="preserve">The solution is to be in a position where the</w:t>
      </w:r>
      <w:r>
        <w:t xml:space="preserve"> </w:t>
      </w:r>
      <w:r>
        <w:rPr>
          <w:rStyle w:val="NormalTok"/>
        </w:rPr>
        <w:t xml:space="preserve">error</w:t>
      </w:r>
      <w:r>
        <w:t xml:space="preserve"> </w:t>
      </w:r>
      <w:r>
        <w:t xml:space="preserve">value is</w:t>
      </w:r>
      <w:r>
        <w:t xml:space="preserve"> </w:t>
      </w:r>
      <w:r>
        <w:t xml:space="preserve">“hidden after”</w:t>
      </w:r>
      <w:r>
        <w:t xml:space="preserve"> </w:t>
      </w:r>
      <w:r>
        <w:t xml:space="preserve">a</w:t>
      </w:r>
      <w:r>
        <w:t xml:space="preserve"> </w:t>
      </w:r>
      <w:r>
        <w:rPr>
          <w:rStyle w:val="KeywordTok"/>
        </w:rPr>
        <w:t xml:space="preserve">null</w:t>
      </w:r>
      <w:r>
        <w:t xml:space="preserve"> </w:t>
      </w:r>
      <w:r>
        <w:t xml:space="preserve">value: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        SDictionary demo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"Alex"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demo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demo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error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demo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"Alice"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"{error} is in dictionary: {demo.Delete(error)}."</w:t>
      </w:r>
      <w:r>
        <w:rPr>
          <w:rStyle w:val="OperatorTok"/>
        </w:rPr>
        <w:t xml:space="preserve">);</w:t>
      </w:r>
    </w:p>
    <w:p>
      <w:pPr>
        <w:pStyle w:val="Compact"/>
        <w:numPr>
          <w:ilvl w:val="1"/>
          <w:numId w:val="1000"/>
        </w:numPr>
      </w:pPr>
      <w:hyperlink r:id="rId22">
        <w:r>
          <w:rPr>
            <w:rStyle w:val="Hyperlink"/>
            <w:i/>
            <w:iCs/>
          </w:rPr>
          <w:t xml:space="preserve">(Download this code)</w:t>
        </w:r>
      </w:hyperlink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3"/>
  </w:num>
  <w:num w:numId="1003">
    <w:abstractNumId w:val="992"/>
  </w:num>
  <w:num w:numId="1004">
    <w:abstractNumId w:val="993"/>
  </w:num>
  <w:num w:numId="1005">
    <w:abstractNumId w:val="993"/>
  </w:num>
  <w:num w:numId="1006">
    <w:abstractNumId w:val="992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princomp.github.io/code/projects/SDictionary.zip" TargetMode="External" /><Relationship Type="http://schemas.openxmlformats.org/officeDocument/2006/relationships/hyperlink" Id="rId22" Target="https:/princomp.github.io/code/projects/SDictionary_solution.zi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princomp.github.io/code/projects/SDictionary.zip" TargetMode="External" /><Relationship Type="http://schemas.openxmlformats.org/officeDocument/2006/relationships/hyperlink" Id="rId22" Target="https:/princomp.github.io/code/projects/SDictionary_solution.zi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2025-11-21T01:28:26Z</dcterms:created>
  <dcterms:modified xsi:type="dcterms:W3CDTF">2025-11-21T01:28:26Z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2025-11-20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