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7" w:name="datatypes-in-c"/>
    <w:p>
      <w:pPr>
        <w:pStyle w:val="Heading1"/>
      </w:pPr>
      <w:r>
        <w:t xml:space="preserve">Datatypes in C</w:t>
      </w:r>
    </w:p>
    <w:bookmarkStart w:id="26" w:name="value-types"/>
    <w:p>
      <w:pPr>
        <w:pStyle w:val="Heading2"/>
      </w:pPr>
      <w:r>
        <w:t xml:space="preserve">Value Types</w:t>
      </w:r>
    </w:p>
    <w:bookmarkStart w:id="23" w:name="numeric"/>
    <w:p>
      <w:pPr>
        <w:pStyle w:val="Heading3"/>
      </w:pPr>
      <w:r>
        <w:t xml:space="preserve">Numeric</w:t>
      </w:r>
    </w:p>
    <w:bookmarkStart w:id="20" w:name="signed-integer"/>
    <w:p>
      <w:pPr>
        <w:pStyle w:val="Heading4"/>
      </w:pPr>
      <w:r>
        <w:t xml:space="preserve">Signed Integer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Range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Size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sbyte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-128 to 127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Signed 8-bit integer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short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-32,768 to 32,767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Signed 16-bit integer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-2,147,483,648 to 2,147,483,647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Signed 32-bit integer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long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-9,223,372,036,854,775,808 to 9,223,372,036,854,775,807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Signed 64-bit integer</w:t>
            </w:r>
          </w:p>
        </w:tc>
      </w:tr>
    </w:tbl>
    <w:bookmarkEnd w:id="20"/>
    <w:bookmarkStart w:id="21" w:name="unsigned-integer"/>
    <w:p>
      <w:pPr>
        <w:pStyle w:val="Heading4"/>
      </w:pPr>
      <w:r>
        <w:t xml:space="preserve">Unsigned Integer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Range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Size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byte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 to 255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Unsigned 8-bit integer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ushort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 to 65,535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Unsigned 16-bit integer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uint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 to 4,294,967,295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Unsigned 32-bit integer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ulong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 to 18,446,744,073,709,551,615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Unsigned 64-bit integer</w:t>
            </w:r>
          </w:p>
        </w:tc>
      </w:tr>
    </w:tbl>
    <w:bookmarkEnd w:id="21"/>
    <w:bookmarkStart w:id="22" w:name="floating-point-numbers"/>
    <w:p>
      <w:pPr>
        <w:pStyle w:val="Heading4"/>
      </w:pPr>
      <w:r>
        <w:t xml:space="preserve">Floating-point Numbers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Approximate Range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Precision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±1.5e−45 to ±3.4e38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 digits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±5.0e−324 to ±1.7e308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15–16 digits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(-7.9 x 1028 to 7.9 x 1028)/(100 to 1028)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28–29 significant digits</w:t>
            </w:r>
          </w:p>
        </w:tc>
      </w:tr>
    </w:tbl>
    <w:bookmarkEnd w:id="22"/>
    <w:bookmarkEnd w:id="23"/>
    <w:bookmarkStart w:id="24" w:name="logical"/>
    <w:p>
      <w:pPr>
        <w:pStyle w:val="Heading3"/>
      </w:pPr>
      <w:r>
        <w:t xml:space="preserve">Logical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Possible Values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Size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bool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true</w:t>
            </w:r>
            <w:r>
              <w:t xml:space="preserve">,</w:t>
            </w:r>
            <w: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8-bit</w:t>
            </w:r>
          </w:p>
        </w:tc>
      </w:tr>
    </w:tbl>
    <w:bookmarkEnd w:id="24"/>
    <w:bookmarkStart w:id="25" w:name="character"/>
    <w:p>
      <w:pPr>
        <w:pStyle w:val="Heading3"/>
      </w:pPr>
      <w:r>
        <w:t xml:space="preserve">Character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Range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Size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char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U+0000 to U+ffff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Unicode 16-bit character</w:t>
            </w:r>
          </w:p>
        </w:tc>
      </w:tr>
    </w:tbl>
    <w:bookmarkEnd w:id="25"/>
    <w:bookmarkEnd w:id="26"/>
    <w:bookmarkStart w:id="27" w:name="literals"/>
    <w:p>
      <w:pPr>
        <w:pStyle w:val="Heading2"/>
      </w:pPr>
      <w:r>
        <w:t xml:space="preserve">Literals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Corresponding datatype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Examples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Integer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40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  <w:r>
              <w:rPr>
                <w:rStyle w:val="DecValTok"/>
              </w:rPr>
              <w:t xml:space="preserve">39</w:t>
            </w:r>
            <w:r>
              <w:t xml:space="preserve">,</w:t>
            </w:r>
            <w:r>
              <w:t xml:space="preserve"> </w:t>
            </w:r>
            <w:r>
              <w:rPr>
                <w:rStyle w:val="DecValTok"/>
              </w:rPr>
              <w:t xml:space="preserve">291838</w:t>
            </w:r>
            <w:r>
              <w:t xml:space="preserve">,</w:t>
            </w:r>
            <w:r>
              <w:t xml:space="preserve"> </w:t>
            </w:r>
            <w:r>
              <w:rPr>
                <w:rStyle w:val="DecValTok"/>
              </w:rPr>
              <w:t xml:space="preserve">0</w:t>
            </w:r>
            <w:r>
              <w:t xml:space="preserve">, …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Float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FloatTok"/>
              </w:rPr>
              <w:t xml:space="preserve">3.5F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  <w:r>
              <w:rPr>
                <w:rStyle w:val="FloatTok"/>
              </w:rPr>
              <w:t xml:space="preserve">43.5f</w:t>
            </w:r>
            <w:r>
              <w:t xml:space="preserve">,</w:t>
            </w:r>
            <w:r>
              <w:t xml:space="preserve"> </w:t>
            </w:r>
            <w:r>
              <w:rPr>
                <w:rStyle w:val="FloatTok"/>
              </w:rPr>
              <w:t xml:space="preserve">309430.70006F</w:t>
            </w:r>
            <w:r>
              <w:t xml:space="preserve">, …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Double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FloatTok"/>
              </w:rPr>
              <w:t xml:space="preserve">28.98</w:t>
            </w:r>
            <w:r>
              <w:t xml:space="preserve">,</w:t>
            </w:r>
            <w:r>
              <w:t xml:space="preserve"> </w:t>
            </w:r>
            <w:r>
              <w:rPr>
                <w:rStyle w:val="FloatTok"/>
              </w:rPr>
              <w:t xml:space="preserve">239.0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  <w:r>
              <w:rPr>
                <w:rStyle w:val="FloatTok"/>
              </w:rPr>
              <w:t xml:space="preserve">391.089</w:t>
            </w:r>
            <w:r>
              <w:t xml:space="preserve">,</w:t>
            </w:r>
            <w:r>
              <w:t xml:space="preserve"> </w:t>
            </w:r>
            <w:r>
              <w:rPr>
                <w:rStyle w:val="FloatTok"/>
              </w:rPr>
              <w:t xml:space="preserve">0.0</w:t>
            </w:r>
            <w:r>
              <w:t xml:space="preserve">, …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Decimal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FloatTok"/>
              </w:rPr>
              <w:t xml:space="preserve">8.95m</w:t>
            </w:r>
            <w:r>
              <w:t xml:space="preserve">,</w:t>
            </w:r>
            <w:r>
              <w:t xml:space="preserve"> </w:t>
            </w:r>
            <w:r>
              <w:rPr>
                <w:rStyle w:val="FloatTok"/>
              </w:rPr>
              <w:t xml:space="preserve">3283.9M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  <w:r>
              <w:rPr>
                <w:rStyle w:val="DecValTok"/>
              </w:rPr>
              <w:t xml:space="preserve">30</w:t>
            </w:r>
            <w:r>
              <w:rPr>
                <w:rStyle w:val="NormalTok"/>
              </w:rPr>
              <w:t xml:space="preserve">m</w:t>
            </w:r>
            <w:r>
              <w:t xml:space="preserve">, …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Boolean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bool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true</w:t>
            </w:r>
            <w:r>
              <w:t xml:space="preserve">,</w:t>
            </w:r>
            <w: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Character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char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CharTok"/>
              </w:rPr>
              <w:t xml:space="preserve">'Y'</w:t>
            </w:r>
            <w:r>
              <w:t xml:space="preserve">,</w:t>
            </w:r>
            <w:r>
              <w:t xml:space="preserve"> </w:t>
            </w:r>
            <w:r>
              <w:rPr>
                <w:rStyle w:val="CharTok"/>
              </w:rPr>
              <w:t xml:space="preserve">'a'</w:t>
            </w:r>
            <w:r>
              <w:t xml:space="preserve">,</w:t>
            </w:r>
            <w:r>
              <w:t xml:space="preserve"> </w:t>
            </w:r>
            <w:r>
              <w:rPr>
                <w:rStyle w:val="CharTok"/>
              </w:rPr>
              <w:t xml:space="preserve">'0'</w:t>
            </w:r>
            <w:r>
              <w:t xml:space="preserve">,</w:t>
            </w:r>
            <w:r>
              <w:t xml:space="preserve"> </w:t>
            </w:r>
            <w:r>
              <w:rPr>
                <w:rStyle w:val="CharTok"/>
              </w:rPr>
              <w:t xml:space="preserve">'\n'</w:t>
            </w:r>
            <w:r>
              <w:t xml:space="preserve">,</w:t>
            </w:r>
            <w:r>
              <w:t xml:space="preserve"> </w:t>
            </w:r>
            <w:r>
              <w:rPr>
                <w:rStyle w:val="CharTok"/>
              </w:rPr>
              <w:t xml:space="preserve">'\x0058'</w:t>
            </w:r>
            <w:r>
              <w:t xml:space="preserve">,</w:t>
            </w:r>
            <w:r>
              <w:t xml:space="preserve"> </w:t>
            </w:r>
            <w:r>
              <w:rPr>
                <w:rStyle w:val="NormalTok"/>
              </w:rPr>
              <w:t xml:space="preserve">'\u0058'</w:t>
            </w:r>
            <w:r>
              <w:t xml:space="preserve">, …</w:t>
            </w:r>
          </w:p>
        </w:tc>
      </w:tr>
    </w:tbl>
    <w:bookmarkEnd w:id="27"/>
    <w:bookmarkStart w:id="28" w:name="compatibility"/>
    <w:p>
      <w:pPr>
        <w:pStyle w:val="Heading2"/>
      </w:pPr>
      <w:r>
        <w:t xml:space="preserve">Compatibility</w:t>
      </w:r>
    </w:p>
    <w:p>
      <w:pPr>
        <w:pStyle w:val="FirstParagraph"/>
      </w:pPr>
      <w:r>
        <w:t xml:space="preserve">This table is to be read as</w:t>
      </w:r>
    </w:p>
    <w:p>
      <w:pPr>
        <w:pStyle w:val="BlockText"/>
      </w:pPr>
      <m:oMath>
        <m:r>
          <m:rPr>
            <m:sty m:val="p"/>
          </m:rPr>
          <m:t>✓</m:t>
        </m:r>
      </m:oMath>
      <w:r>
        <w:t xml:space="preserve"> </w:t>
      </w:r>
      <w:r>
        <w:t xml:space="preserve">means that those values or variables from the datatypes in the row and column can be</w:t>
      </w:r>
      <w:r>
        <w:t xml:space="preserve"> </w:t>
      </w:r>
      <w:r>
        <w:t xml:space="preserve">“operated together”</w:t>
      </w:r>
      <w:r>
        <w:t xml:space="preserve"> </w:t>
      </w:r>
      <w:r>
        <w:t xml:space="preserve">(meaning, you can for instance multiply them),</w:t>
      </w:r>
      <w:r>
        <w:t xml:space="preserve"> </w:t>
      </w:r>
      <w:r>
        <w:t xml:space="preserve">✘ means that those values or variables from the datatypes in the row and column can</w:t>
      </w:r>
      <w:r>
        <w:rPr>
          <w:i/>
          <w:iCs/>
        </w:rPr>
        <w:t xml:space="preserve">not</w:t>
      </w:r>
      <w:r>
        <w:t xml:space="preserve"> </w:t>
      </w:r>
      <w:r>
        <w:t xml:space="preserve">be</w:t>
      </w:r>
      <w:r>
        <w:t xml:space="preserve"> </w:t>
      </w:r>
      <w:r>
        <w:t xml:space="preserve">“operated together”</w:t>
      </w:r>
      <w:r>
        <w:t xml:space="preserve"> </w:t>
      </w:r>
      <w:r>
        <w:t xml:space="preserve">(meaning, you can</w:t>
      </w:r>
      <w:r>
        <w:rPr>
          <w:i/>
          <w:iCs/>
        </w:rPr>
        <w:t xml:space="preserve">not</w:t>
      </w:r>
      <w:r>
        <w:t xml:space="preserve"> </w:t>
      </w:r>
      <w:r>
        <w:t xml:space="preserve">for instance multiply them).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b/>
                <w:bCs/>
              </w:rPr>
              <w:t xml:space="preserve">Integer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b/>
                <w:bCs/>
              </w:rPr>
              <w:t xml:space="preserve">Float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b/>
                <w:bCs/>
              </w:rPr>
              <w:t xml:space="preserve">Double Literal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b/>
                <w:bCs/>
              </w:rPr>
              <w:t xml:space="preserve">Decimal Literal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✘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✓</m:t>
              </m:r>
            </m:oMath>
          </w:p>
        </w:tc>
      </w:tr>
    </w:tbl>
    <w:bookmarkEnd w:id="28"/>
    <w:bookmarkStart w:id="29" w:name="result-type-of-operations"/>
    <w:p>
      <w:pPr>
        <w:pStyle w:val="Heading2"/>
      </w:pPr>
      <w:r>
        <w:t xml:space="preserve">Result Type of Operations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illegal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double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illegal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illegal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illegal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ataTypeTok"/>
              </w:rPr>
              <w:t xml:space="preserve">decimal</w:t>
            </w:r>
          </w:p>
        </w:tc>
      </w:tr>
    </w:tbl>
    <w:p>
      <w:pPr>
        <w:pStyle w:val="BodyText"/>
      </w:pPr>
      <w:r>
        <w:t xml:space="preserve">This table is to be read as</w:t>
      </w:r>
    </w:p>
    <w:p>
      <w:pPr>
        <w:pStyle w:val="BlockText"/>
      </w:pPr>
      <w:r>
        <w:t xml:space="preserve">Values or variables from the datatypes in the row and column can be</w:t>
      </w:r>
      <w:r>
        <w:t xml:space="preserve"> </w:t>
      </w:r>
      <w:r>
        <w:t xml:space="preserve">“operated together”</w:t>
      </w:r>
      <w:r>
        <w:t xml:space="preserve"> </w:t>
      </w:r>
      <w:r>
        <w:t xml:space="preserve">and will produce the datatype indicated in the cell, or cannot be</w:t>
      </w:r>
      <w:r>
        <w:t xml:space="preserve"> </w:t>
      </w:r>
      <w:r>
        <w:t xml:space="preserve">“operated together”</w:t>
      </w:r>
      <w:r>
        <w:t xml:space="preserve"> </w:t>
      </w:r>
      <w:r>
        <w:t xml:space="preserve">if the value in the cell is</w:t>
      </w:r>
      <w:r>
        <w:t xml:space="preserve"> </w:t>
      </w:r>
      <w:r>
        <w:t xml:space="preserve">“illegal”</w:t>
      </w:r>
      <w:r>
        <w:t xml:space="preserve">.</w:t>
      </w:r>
    </w:p>
    <w:bookmarkEnd w:id="29"/>
    <w:bookmarkStart w:id="36" w:name="references"/>
    <w:p>
      <w:pPr>
        <w:pStyle w:val="Heading2"/>
      </w:pPr>
      <w:r>
        <w:t xml:space="preserve">References</w:t>
      </w:r>
    </w:p>
    <w:p>
      <w:pPr>
        <w:pStyle w:val="Compact"/>
        <w:numPr>
          <w:ilvl w:val="0"/>
          <w:numId w:val="1001"/>
        </w:numPr>
      </w:pPr>
      <w:hyperlink r:id="rId30">
        <w:r>
          <w:rPr>
            <w:rStyle w:val="Hyperlink"/>
          </w:rPr>
          <w:t xml:space="preserve">https://docs.microsoft.com/en-us/dotnet/csharp/tour-of-csharp/types-and-variables</w:t>
        </w:r>
      </w:hyperlink>
    </w:p>
    <w:p>
      <w:pPr>
        <w:pStyle w:val="Compact"/>
        <w:numPr>
          <w:ilvl w:val="0"/>
          <w:numId w:val="1001"/>
        </w:numPr>
      </w:pPr>
      <w:hyperlink r:id="rId31">
        <w:r>
          <w:rPr>
            <w:rStyle w:val="Hyperlink"/>
          </w:rPr>
          <w:t xml:space="preserve">https://docs.microsoft.com/en-us/dotnet/csharp/language-reference/keywords/integral-types-table</w:t>
        </w:r>
      </w:hyperlink>
    </w:p>
    <w:p>
      <w:pPr>
        <w:pStyle w:val="Compact"/>
        <w:numPr>
          <w:ilvl w:val="0"/>
          <w:numId w:val="1001"/>
        </w:numPr>
      </w:pPr>
      <w:hyperlink r:id="rId32">
        <w:r>
          <w:rPr>
            <w:rStyle w:val="Hyperlink"/>
          </w:rPr>
          <w:t xml:space="preserve">https://docs.microsoft.com/en-us/dotnet/csharp/language-reference/keywords/floating-point-types-table</w:t>
        </w:r>
      </w:hyperlink>
    </w:p>
    <w:p>
      <w:pPr>
        <w:pStyle w:val="Compact"/>
        <w:numPr>
          <w:ilvl w:val="0"/>
          <w:numId w:val="1001"/>
        </w:numPr>
      </w:pPr>
      <w:hyperlink r:id="rId33">
        <w:r>
          <w:rPr>
            <w:rStyle w:val="Hyperlink"/>
          </w:rPr>
          <w:t xml:space="preserve">https://docs.microsoft.com/en-us/dotnet/csharp/language-reference/keywords/value-types-table</w:t>
        </w:r>
      </w:hyperlink>
    </w:p>
    <w:p>
      <w:pPr>
        <w:pStyle w:val="Compact"/>
        <w:numPr>
          <w:ilvl w:val="0"/>
          <w:numId w:val="1001"/>
        </w:numPr>
      </w:pPr>
      <w:hyperlink r:id="rId34">
        <w:r>
          <w:rPr>
            <w:rStyle w:val="Hyperlink"/>
          </w:rPr>
          <w:t xml:space="preserve">https://docs.microsoft.com/en-us/dotnet/csharp/language-reference/keywords/implicit-numeric-conversions-table</w:t>
        </w:r>
      </w:hyperlink>
    </w:p>
    <w:p>
      <w:pPr>
        <w:pStyle w:val="Compact"/>
        <w:numPr>
          <w:ilvl w:val="0"/>
          <w:numId w:val="1001"/>
        </w:numPr>
      </w:pPr>
      <w:hyperlink r:id="rId35">
        <w:r>
          <w:rPr>
            <w:rStyle w:val="Hyperlink"/>
          </w:rPr>
          <w:t xml:space="preserve">https://docs.microsoft.com/en-us/dotnet/csharp/language-reference/keywords/explicit-numeric-conversions-table</w:t>
        </w:r>
      </w:hyperlink>
    </w:p>
    <w:bookmarkEnd w:id="36"/>
    <w:bookmarkEnd w:id="3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5" Target="https://docs.microsoft.com/en-us/dotnet/csharp/language-reference/keywords/explicit-numeric-conversions-table" TargetMode="External" /><Relationship Type="http://schemas.openxmlformats.org/officeDocument/2006/relationships/hyperlink" Id="rId32" Target="https://docs.microsoft.com/en-us/dotnet/csharp/language-reference/keywords/floating-point-types-table" TargetMode="External" /><Relationship Type="http://schemas.openxmlformats.org/officeDocument/2006/relationships/hyperlink" Id="rId34" Target="https://docs.microsoft.com/en-us/dotnet/csharp/language-reference/keywords/implicit-numeric-conversions-table" TargetMode="External" /><Relationship Type="http://schemas.openxmlformats.org/officeDocument/2006/relationships/hyperlink" Id="rId31" Target="https://docs.microsoft.com/en-us/dotnet/csharp/language-reference/keywords/integral-types-table" TargetMode="External" /><Relationship Type="http://schemas.openxmlformats.org/officeDocument/2006/relationships/hyperlink" Id="rId33" Target="https://docs.microsoft.com/en-us/dotnet/csharp/language-reference/keywords/value-types-table" TargetMode="External" /><Relationship Type="http://schemas.openxmlformats.org/officeDocument/2006/relationships/hyperlink" Id="rId30" Target="https://docs.microsoft.com/en-us/dotnet/csharp/tour-of-csharp/types-and-variabl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https://docs.microsoft.com/en-us/dotnet/csharp/language-reference/keywords/explicit-numeric-conversions-table" TargetMode="External" /><Relationship Type="http://schemas.openxmlformats.org/officeDocument/2006/relationships/hyperlink" Id="rId32" Target="https://docs.microsoft.com/en-us/dotnet/csharp/language-reference/keywords/floating-point-types-table" TargetMode="External" /><Relationship Type="http://schemas.openxmlformats.org/officeDocument/2006/relationships/hyperlink" Id="rId34" Target="https://docs.microsoft.com/en-us/dotnet/csharp/language-reference/keywords/implicit-numeric-conversions-table" TargetMode="External" /><Relationship Type="http://schemas.openxmlformats.org/officeDocument/2006/relationships/hyperlink" Id="rId31" Target="https://docs.microsoft.com/en-us/dotnet/csharp/language-reference/keywords/integral-types-table" TargetMode="External" /><Relationship Type="http://schemas.openxmlformats.org/officeDocument/2006/relationships/hyperlink" Id="rId33" Target="https://docs.microsoft.com/en-us/dotnet/csharp/language-reference/keywords/value-types-table" TargetMode="External" /><Relationship Type="http://schemas.openxmlformats.org/officeDocument/2006/relationships/hyperlink" Id="rId30" Target="https://docs.microsoft.com/en-us/dotnet/csharp/tour-of-csharp/types-and-variab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2024-09-19T23:09:50Z</dcterms:created>
  <dcterms:modified xsi:type="dcterms:W3CDTF">2024-09-19T23:09:50Z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